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" w:hAnsi="仿宋" w:eastAsia="仿宋"/>
        </w:rPr>
      </w:pPr>
      <w:r>
        <w:rPr>
          <w:rFonts w:hint="eastAsia" w:ascii="华文中宋" w:hAnsi="华文中宋" w:eastAsia="华文中宋" w:cstheme="majorEastAsia"/>
          <w:b/>
          <w:sz w:val="44"/>
          <w:szCs w:val="44"/>
        </w:rPr>
        <w:t>广东药科大学本科教材建设与管理办法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总则</w:t>
      </w:r>
    </w:p>
    <w:p>
      <w:pPr>
        <w:pStyle w:val="16"/>
        <w:numPr>
          <w:ilvl w:val="0"/>
          <w:numId w:val="1"/>
        </w:numPr>
        <w:ind w:left="0" w:firstLine="640"/>
        <w:rPr>
          <w:rFonts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教材是体现教学内容和教学方法的知识载体，是进行教学的基本工具，也是深入教学改革，提高教学质量的重要保证。为加强教材建设，提高教学水平和教学质量，推进我校教材建设与管理工作科学化、规范化和制度化建设，</w:t>
      </w:r>
      <w:r>
        <w:rPr>
          <w:rFonts w:ascii="仿宋" w:hAnsi="仿宋" w:eastAsia="仿宋"/>
          <w:color w:val="000000"/>
          <w:kern w:val="0"/>
          <w:sz w:val="32"/>
          <w:szCs w:val="32"/>
        </w:rPr>
        <w:t>根据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国务院《国家教育事业发展“十三五”规划》（国发〔2017〕4号）等文件精神，结合我校实际，制定本办法。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ind w:left="0" w:firstLine="640"/>
        <w:rPr>
          <w:rFonts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本办法所称教材，是指列入《广东药科大学本科专业人才培养方案》</w:t>
      </w:r>
      <w:r>
        <w:rPr>
          <w:rFonts w:ascii="仿宋_GB2312" w:eastAsia="仿宋_GB2312"/>
          <w:color w:val="000000"/>
          <w:sz w:val="32"/>
          <w:szCs w:val="32"/>
        </w:rPr>
        <w:t>在课程教学中使用的教学用书（含教学主要参考书、讲义、音像材料等）。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教材的规划与建设</w:t>
      </w: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根据教育部相关文件精神，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以及</w:t>
      </w:r>
      <w:r>
        <w:rPr>
          <w:rFonts w:hint="eastAsia" w:ascii="仿宋" w:hAnsi="仿宋" w:eastAsia="仿宋"/>
          <w:sz w:val="32"/>
          <w:szCs w:val="32"/>
        </w:rPr>
        <w:t>教育部国家级规划教材的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评选</w:t>
      </w:r>
      <w:r>
        <w:rPr>
          <w:rFonts w:hint="eastAsia" w:ascii="仿宋" w:hAnsi="仿宋" w:eastAsia="仿宋"/>
          <w:sz w:val="32"/>
          <w:szCs w:val="32"/>
        </w:rPr>
        <w:t>要求，结合学校实际情况，拟定教材建设规划。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材建设规划从3个层次开展教材建设：1.国家级规划教材（指教育部评选的国家级规划教材）；2.省部级规划（指国家各部委或省级教育行政部门的规划教材）；3.协编教材（指由两所及以上高校联合编写或出版社组织编写的规划教材）。</w:t>
      </w:r>
    </w:p>
    <w:p>
      <w:pPr>
        <w:pStyle w:val="16"/>
        <w:spacing w:line="560" w:lineRule="exact"/>
        <w:ind w:left="64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学校鼓励青年教师积极参加协编教材及省部级规划教材编写，鼓励高职称教师积极参加国家级规划教材的编写，重点为支持国家级规划教材主编的培育。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参加教材编写的教师，应凭教材编写邀请函或聘书，填报《广东药科大学教材建设申请表》，经所在系（教研室）、教学单位、教务处审核批准。完成审批程序的教材纳入学校教材建设规划，按照教材建设基金资助标准进行建设经费支持。教师个人不得代表学校与出版社签署教材编写、出版合同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设立本科教材建设专项基金，用于支持教材建设。本科教材建设基金按照每部教材我校教师的最高编写职务资助（不含配套教材、习题集、学习指导等教辅书）。资助标准如下：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(一)国家级规划教材：第一主编30万元/部，其他主编5万元/部，副主编2万元/部，参编1万元/部；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(二)省部级规划教材：第一主编5万元/部，其他主编2万元/部或副主编1万元/部；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(三)协编教材：第一主编0.5万元/部。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科教材建设基金实行分期下达：通过出版社的遴选，确定为教材主编、副主编，凭教材编写邀请函或聘书，经所在系（教研室）、学院（部）、教务处审核批准后下达第一期建设经费；教材正式出版后，提交教材信息扫描件至教务处存档后，下达第二期建设经费。入选国家级规划教材后，追加第三期建设经费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教学需要编写讲义（含实验讲义）作为补充教材者，由编写教师填报《广东药科大学自编讲义申请表》，交所在系（教研室）、学院（部）、教务处审核批准。讲义应以最新的本科专业人才培养方案、课程教学大纲为依据，反映教学改革中的新理论和科研成果，有效满足课程教学的基本要求。要做到精选内容、主次分明、由浅入深、详略恰当。自编讲义每3年应修订1次，5年未修订的自编讲义，将停止使用。</w:t>
      </w:r>
    </w:p>
    <w:p>
      <w:pPr>
        <w:pStyle w:val="16"/>
        <w:spacing w:line="56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教材的选用与管理</w:t>
      </w: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教材选用遵循下列原则：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(一)正确导向原则。</w:t>
      </w:r>
      <w:r>
        <w:rPr>
          <w:rFonts w:ascii="仿宋_GB2312" w:eastAsia="仿宋_GB2312"/>
          <w:color w:val="000000"/>
          <w:sz w:val="32"/>
          <w:szCs w:val="32"/>
        </w:rPr>
        <w:t>教材选用必须坚持以马克思主义为指导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，弘扬和践行社会主义核心价值观，</w:t>
      </w:r>
      <w:r>
        <w:rPr>
          <w:rFonts w:ascii="仿宋_GB2312" w:eastAsia="仿宋_GB2312"/>
          <w:color w:val="000000"/>
          <w:sz w:val="32"/>
          <w:szCs w:val="32"/>
        </w:rPr>
        <w:t>引导学生树立正确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思想</w:t>
      </w:r>
      <w:r>
        <w:rPr>
          <w:rFonts w:ascii="仿宋_GB2312" w:eastAsia="仿宋_GB2312"/>
          <w:color w:val="000000"/>
          <w:sz w:val="32"/>
          <w:szCs w:val="32"/>
        </w:rPr>
        <w:t>认识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，充分体现社会主义办学方向，坚持育人为本</w:t>
      </w:r>
      <w:r>
        <w:rPr>
          <w:rFonts w:ascii="仿宋_GB2312" w:eastAsia="仿宋_GB2312"/>
          <w:color w:val="000000"/>
          <w:sz w:val="32"/>
          <w:szCs w:val="32"/>
        </w:rPr>
        <w:t>。杜绝有意识形态问题的教材进入课堂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(二)统一性原则。</w:t>
      </w:r>
      <w:r>
        <w:rPr>
          <w:rFonts w:ascii="仿宋_GB2312" w:eastAsia="仿宋_GB2312"/>
          <w:color w:val="000000"/>
          <w:sz w:val="32"/>
          <w:szCs w:val="32"/>
        </w:rPr>
        <w:t>原则上每门课程都须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明确</w:t>
      </w:r>
      <w:r>
        <w:rPr>
          <w:rFonts w:ascii="仿宋_GB2312" w:eastAsia="仿宋_GB2312"/>
          <w:color w:val="000000"/>
          <w:sz w:val="32"/>
          <w:szCs w:val="32"/>
        </w:rPr>
        <w:t>选用教材。</w:t>
      </w:r>
      <w:r>
        <w:rPr>
          <w:rFonts w:hint="eastAsia" w:ascii="仿宋" w:hAnsi="仿宋" w:eastAsia="仿宋"/>
          <w:sz w:val="32"/>
          <w:szCs w:val="32"/>
        </w:rPr>
        <w:t>采用同一教学大纲的课程，应选用同一版本的教材。教材选用经审定后，不得随意更改。确有特殊情况须更改、停止使用的，由系（教研室）提出申请，说明原因，提出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解决方案，经所在学院（部）同意后报教务处批准。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(三)适用性原则。</w:t>
      </w:r>
      <w:r>
        <w:rPr>
          <w:rFonts w:ascii="仿宋_GB2312" w:eastAsia="仿宋_GB2312"/>
          <w:color w:val="000000"/>
          <w:sz w:val="32"/>
          <w:szCs w:val="32"/>
        </w:rPr>
        <w:t>教材选用应符合人才培养目标要求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，结合学科发展与课程建设需要，以教学任务和教学大纲为依据，选用相适应的教材。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(四)优秀性原则。优先选用获得国家级、省部级奖励的教材，国家级、省部级规划教材，国家教学指导委员会推荐的教材。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教材选用范围中有中宣部、教育部已出版“马克思主义理论研究和建设工程”重点教材者，必须选用该重点教材。</w:t>
      </w:r>
      <w:r>
        <w:rPr>
          <w:rFonts w:hint="eastAsia" w:ascii="仿宋" w:hAnsi="仿宋" w:eastAsia="仿宋"/>
          <w:sz w:val="32"/>
          <w:szCs w:val="32"/>
        </w:rPr>
        <w:t>同一级别教材由我校教师担任主编者，3年内优先使用；由我校教师担任副主编或参编者，2年内优先使用。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(五)先进性原则。结合学科、专业调整和该领域的最新科研成果，及时更新选用的教材版本，使教材在内容上始终保持先进性。优先选用3年内出版的教材，原则上不得选用10年前出版的教材。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学校教务</w:t>
      </w:r>
      <w:r>
        <w:rPr>
          <w:rFonts w:hint="eastAsia" w:ascii="仿宋_GB2312" w:eastAsia="仿宋_GB2312"/>
          <w:color w:val="000000"/>
          <w:sz w:val="32"/>
          <w:szCs w:val="32"/>
        </w:rPr>
        <w:t>处</w:t>
      </w:r>
      <w:r>
        <w:rPr>
          <w:rFonts w:ascii="仿宋_GB2312" w:eastAsia="仿宋_GB2312"/>
          <w:color w:val="000000"/>
          <w:sz w:val="32"/>
          <w:szCs w:val="32"/>
        </w:rPr>
        <w:t>负责全校本科教材选用的管理</w:t>
      </w:r>
      <w:r>
        <w:rPr>
          <w:rFonts w:hint="eastAsia" w:ascii="仿宋_GB2312" w:eastAsia="仿宋_GB2312"/>
          <w:color w:val="000000"/>
          <w:sz w:val="32"/>
          <w:szCs w:val="32"/>
        </w:rPr>
        <w:t>和</w:t>
      </w:r>
      <w:r>
        <w:rPr>
          <w:rFonts w:ascii="仿宋_GB2312" w:eastAsia="仿宋_GB2312"/>
          <w:color w:val="000000"/>
          <w:sz w:val="32"/>
          <w:szCs w:val="32"/>
        </w:rPr>
        <w:t>监督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；</w:t>
      </w:r>
      <w:r>
        <w:rPr>
          <w:rFonts w:ascii="仿宋_GB2312" w:eastAsia="仿宋_GB2312"/>
          <w:color w:val="000000"/>
          <w:sz w:val="32"/>
          <w:szCs w:val="32"/>
        </w:rPr>
        <w:t>各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学院（部）</w:t>
      </w:r>
      <w:r>
        <w:rPr>
          <w:rFonts w:ascii="仿宋_GB2312" w:eastAsia="仿宋_GB2312"/>
          <w:color w:val="000000"/>
          <w:sz w:val="32"/>
          <w:szCs w:val="32"/>
        </w:rPr>
        <w:t>负责本单位所需教材的</w:t>
      </w:r>
      <w:r>
        <w:rPr>
          <w:rFonts w:hint="eastAsia" w:ascii="仿宋_GB2312" w:eastAsia="仿宋_GB2312"/>
          <w:color w:val="000000"/>
          <w:sz w:val="32"/>
          <w:szCs w:val="32"/>
        </w:rPr>
        <w:t>选用审核，学院（部）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党组织负责人是教材选用意识形态</w:t>
      </w:r>
      <w:r>
        <w:rPr>
          <w:rFonts w:ascii="仿宋_GB2312" w:eastAsia="仿宋_GB2312"/>
          <w:color w:val="000000"/>
          <w:sz w:val="32"/>
          <w:szCs w:val="32"/>
        </w:rPr>
        <w:t>把关</w:t>
      </w:r>
      <w:r>
        <w:rPr>
          <w:rFonts w:hint="eastAsia" w:ascii="仿宋_GB2312" w:eastAsia="仿宋_GB2312"/>
          <w:color w:val="000000"/>
          <w:sz w:val="32"/>
          <w:szCs w:val="32"/>
        </w:rPr>
        <w:t>的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第一责任人。课程负责人是教材选用的直接责任人，应认真对教材的意识形态和学术水平进行自查。</w:t>
      </w:r>
    </w:p>
    <w:p>
      <w:pPr>
        <w:jc w:val="center"/>
        <w:rPr>
          <w:rFonts w:ascii="仿宋" w:hAnsi="仿宋" w:eastAsia="仿宋"/>
          <w:color w:val="000000"/>
          <w:kern w:val="0"/>
          <w:sz w:val="24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教材的征订与供应</w:t>
      </w: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教学任务下达后，课程负责人应</w:t>
      </w:r>
      <w:r>
        <w:rPr>
          <w:rFonts w:ascii="仿宋_GB2312" w:eastAsia="仿宋_GB2312"/>
          <w:color w:val="000000"/>
          <w:sz w:val="32"/>
          <w:szCs w:val="32"/>
        </w:rPr>
        <w:t>根据教学大纲</w:t>
      </w:r>
      <w:r>
        <w:rPr>
          <w:rFonts w:hint="eastAsia" w:ascii="仿宋_GB2312" w:eastAsia="仿宋_GB2312"/>
          <w:color w:val="000000"/>
          <w:sz w:val="32"/>
          <w:szCs w:val="32"/>
        </w:rPr>
        <w:t>和</w:t>
      </w:r>
      <w:r>
        <w:rPr>
          <w:rFonts w:ascii="仿宋_GB2312" w:eastAsia="仿宋_GB2312"/>
          <w:color w:val="000000"/>
          <w:sz w:val="32"/>
          <w:szCs w:val="32"/>
        </w:rPr>
        <w:t>教学需要，在同类教材中择优遴选，拟定课程教材，</w:t>
      </w:r>
      <w:r>
        <w:rPr>
          <w:rFonts w:hint="eastAsia" w:ascii="仿宋" w:hAnsi="仿宋" w:eastAsia="仿宋"/>
          <w:sz w:val="32"/>
          <w:szCs w:val="32"/>
        </w:rPr>
        <w:t>并完成教材选用自查。系（教研室）对教材选用情况审查通过后，教学秘书汇总形成《广东药科大学本科教材征订表》，经所在教学单位党组织负责人审核签名，加盖公章后报送教务处审核。选用境外原版教材须遵照《广东药科大学境外原版教材选用管理办法》执行。</w:t>
      </w:r>
    </w:p>
    <w:p>
      <w:pPr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（部）必须在教务处规定的时间内完成教材报订，一经报订不得随意更改。凡由于错报、迟报、漏报而造成教材的错订、迟订、漏订，导致教材无法在开课前供应到位，按《广东药科大学教学差错与事故认定及处理办法》处理。</w:t>
      </w:r>
    </w:p>
    <w:p>
      <w:pPr>
        <w:pStyle w:val="16"/>
        <w:spacing w:line="56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为保证教学质量，原则上要求学生教材“课前备书、人手一册”。学生教材遵循自主购买原则。鼓励学生通过学校公开招标的教材供应商购买教材，学生也可自主通过其它合法方式获取教材。</w:t>
      </w:r>
    </w:p>
    <w:p>
      <w:pPr>
        <w:ind w:firstLine="897" w:firstLineChars="374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材的供应由学校公开招标确定的教材供应商负责。学生向教材供应商提交教材订购单后，须履约购买教材，并按照教材供应合同规定的教材折扣率结算教材款。如发现教材存在质量问题，学生应在购买教材后10个工作日内联系教材供应商进行退换。</w:t>
      </w:r>
    </w:p>
    <w:p>
      <w:pPr>
        <w:pStyle w:val="16"/>
        <w:spacing w:line="56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Arial"/>
          <w:color w:val="111111"/>
          <w:sz w:val="32"/>
          <w:szCs w:val="32"/>
        </w:rPr>
        <w:t>学生必须遵守《中华人民共和国著作权法》，自觉维护知识产权，拒绝购买盗版教材。学校不允许学生组织整本复印教材，违规者须承担法律责任。</w:t>
      </w: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任课教师可领取课程教材和实验教材各1册。同一版次的教材，3年内不得重复领取。与本学期教学任务无关的教材不予订购和领取。</w:t>
      </w:r>
    </w:p>
    <w:p>
      <w:pPr>
        <w:spacing w:line="560" w:lineRule="exact"/>
        <w:jc w:val="center"/>
        <w:rPr>
          <w:rFonts w:ascii="仿宋" w:hAnsi="仿宋" w:eastAsia="仿宋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教材的评优与评估</w:t>
      </w: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为提高我校教师编写教材水平，鼓励优秀教材的编写与出版，学校将不定期开展优秀教材评选。优秀教材优先推荐参评国家级、省级规划教材。</w:t>
      </w:r>
    </w:p>
    <w:p>
      <w:pPr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优秀教材评选范围：由我校教师为第一主编的已</w:t>
      </w:r>
      <w:r>
        <w:rPr>
          <w:rFonts w:ascii="仿宋" w:hAnsi="仿宋" w:eastAsia="仿宋"/>
          <w:sz w:val="32"/>
          <w:szCs w:val="32"/>
        </w:rPr>
        <w:t>正式出版</w:t>
      </w:r>
      <w:r>
        <w:rPr>
          <w:rFonts w:hint="eastAsia" w:ascii="仿宋" w:hAnsi="仿宋" w:eastAsia="仿宋"/>
          <w:sz w:val="32"/>
          <w:szCs w:val="32"/>
        </w:rPr>
        <w:t>、并已在校内使用两届以上（含两届）的</w:t>
      </w:r>
      <w:r>
        <w:rPr>
          <w:rFonts w:ascii="仿宋" w:hAnsi="仿宋" w:eastAsia="仿宋"/>
          <w:sz w:val="32"/>
          <w:szCs w:val="32"/>
        </w:rPr>
        <w:t>本科</w:t>
      </w:r>
      <w:r>
        <w:rPr>
          <w:rFonts w:hint="eastAsia" w:ascii="仿宋" w:hAnsi="仿宋" w:eastAsia="仿宋"/>
          <w:sz w:val="32"/>
          <w:szCs w:val="32"/>
        </w:rPr>
        <w:t>教材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优秀教材评选程序：由各学院（部）推荐并随交一套供评阅，教务处组织专家评审，学校学术委员会投票决议，通过校内公示无异议后发文公布。</w:t>
      </w:r>
    </w:p>
    <w:p>
      <w:pPr>
        <w:rPr>
          <w:rFonts w:ascii="仿宋" w:hAnsi="仿宋" w:eastAsia="仿宋"/>
          <w:color w:val="000000"/>
          <w:kern w:val="0"/>
          <w:sz w:val="24"/>
        </w:rPr>
      </w:pPr>
    </w:p>
    <w:p>
      <w:pPr>
        <w:pStyle w:val="16"/>
        <w:numPr>
          <w:ilvl w:val="0"/>
          <w:numId w:val="1"/>
        </w:numPr>
        <w:spacing w:line="560" w:lineRule="exact"/>
        <w:ind w:left="0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各学院（部）按学年统计省部级及以上教材（含获奖教材和规划教材）选用情况，对本科教材选用情况进行评估，评估结果纳入高等教育质量监测国家数据平台。</w:t>
      </w:r>
    </w:p>
    <w:p>
      <w:pPr>
        <w:ind w:firstLine="480" w:firstLineChars="200"/>
        <w:rPr>
          <w:rFonts w:ascii="仿宋" w:hAnsi="仿宋" w:eastAsia="仿宋"/>
          <w:color w:val="000000"/>
          <w:kern w:val="0"/>
          <w:sz w:val="24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附则</w:t>
      </w: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本办法自公布之日起执行。原《广东药学院教材建设管理办法（修订）》）（广药〔2009〕77号）、《广东药学院教材管理办法》（广药〔2009〕144号）文件废止。</w:t>
      </w:r>
    </w:p>
    <w:p>
      <w:pPr>
        <w:pStyle w:val="16"/>
        <w:numPr>
          <w:ilvl w:val="0"/>
          <w:numId w:val="1"/>
        </w:numPr>
        <w:spacing w:line="56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本办法由教务处负责解释。</w:t>
      </w: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75F8D"/>
    <w:multiLevelType w:val="multilevel"/>
    <w:tmpl w:val="15075F8D"/>
    <w:lvl w:ilvl="0" w:tentative="0">
      <w:start w:val="1"/>
      <w:numFmt w:val="chineseCountingThousand"/>
      <w:lvlText w:val="第%1条"/>
      <w:lvlJc w:val="left"/>
      <w:pPr>
        <w:ind w:left="2689" w:hanging="420"/>
      </w:pPr>
      <w:rPr>
        <w:rFonts w:hint="eastAsia" w:eastAsia="仿宋"/>
        <w:b/>
        <w:i w:val="0"/>
      </w:rPr>
    </w:lvl>
    <w:lvl w:ilvl="1" w:tentative="0">
      <w:start w:val="1"/>
      <w:numFmt w:val="lowerLetter"/>
      <w:lvlText w:val="%2)"/>
      <w:lvlJc w:val="left"/>
      <w:pPr>
        <w:ind w:left="2549" w:hanging="420"/>
      </w:pPr>
    </w:lvl>
    <w:lvl w:ilvl="2" w:tentative="0">
      <w:start w:val="1"/>
      <w:numFmt w:val="lowerRoman"/>
      <w:lvlText w:val="%3."/>
      <w:lvlJc w:val="right"/>
      <w:pPr>
        <w:ind w:left="2969" w:hanging="420"/>
      </w:pPr>
    </w:lvl>
    <w:lvl w:ilvl="3" w:tentative="0">
      <w:start w:val="1"/>
      <w:numFmt w:val="decimal"/>
      <w:lvlText w:val="%4."/>
      <w:lvlJc w:val="left"/>
      <w:pPr>
        <w:ind w:left="3389" w:hanging="420"/>
      </w:pPr>
    </w:lvl>
    <w:lvl w:ilvl="4" w:tentative="0">
      <w:start w:val="1"/>
      <w:numFmt w:val="lowerLetter"/>
      <w:lvlText w:val="%5)"/>
      <w:lvlJc w:val="left"/>
      <w:pPr>
        <w:ind w:left="3809" w:hanging="420"/>
      </w:pPr>
    </w:lvl>
    <w:lvl w:ilvl="5" w:tentative="0">
      <w:start w:val="1"/>
      <w:numFmt w:val="lowerRoman"/>
      <w:lvlText w:val="%6."/>
      <w:lvlJc w:val="right"/>
      <w:pPr>
        <w:ind w:left="4229" w:hanging="420"/>
      </w:pPr>
    </w:lvl>
    <w:lvl w:ilvl="6" w:tentative="0">
      <w:start w:val="1"/>
      <w:numFmt w:val="decimal"/>
      <w:lvlText w:val="%7."/>
      <w:lvlJc w:val="left"/>
      <w:pPr>
        <w:ind w:left="4649" w:hanging="420"/>
      </w:pPr>
    </w:lvl>
    <w:lvl w:ilvl="7" w:tentative="0">
      <w:start w:val="1"/>
      <w:numFmt w:val="lowerLetter"/>
      <w:lvlText w:val="%8)"/>
      <w:lvlJc w:val="left"/>
      <w:pPr>
        <w:ind w:left="5069" w:hanging="420"/>
      </w:pPr>
    </w:lvl>
    <w:lvl w:ilvl="8" w:tentative="0">
      <w:start w:val="1"/>
      <w:numFmt w:val="lowerRoman"/>
      <w:lvlText w:val="%9."/>
      <w:lvlJc w:val="right"/>
      <w:pPr>
        <w:ind w:left="548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95EBF"/>
    <w:rsid w:val="0003255D"/>
    <w:rsid w:val="00053D05"/>
    <w:rsid w:val="00055C8F"/>
    <w:rsid w:val="0006247F"/>
    <w:rsid w:val="00063E83"/>
    <w:rsid w:val="00080961"/>
    <w:rsid w:val="00080B95"/>
    <w:rsid w:val="00084FD8"/>
    <w:rsid w:val="000B4F1D"/>
    <w:rsid w:val="000C032E"/>
    <w:rsid w:val="000D0884"/>
    <w:rsid w:val="000E77EE"/>
    <w:rsid w:val="000F6121"/>
    <w:rsid w:val="00120332"/>
    <w:rsid w:val="001354B4"/>
    <w:rsid w:val="00142882"/>
    <w:rsid w:val="00151640"/>
    <w:rsid w:val="001732FE"/>
    <w:rsid w:val="001B5427"/>
    <w:rsid w:val="001B7E51"/>
    <w:rsid w:val="001F2490"/>
    <w:rsid w:val="001F7844"/>
    <w:rsid w:val="00206FAA"/>
    <w:rsid w:val="00213FB6"/>
    <w:rsid w:val="00217C2B"/>
    <w:rsid w:val="00243FAC"/>
    <w:rsid w:val="00257281"/>
    <w:rsid w:val="0026135F"/>
    <w:rsid w:val="0027119B"/>
    <w:rsid w:val="002758D1"/>
    <w:rsid w:val="00281D41"/>
    <w:rsid w:val="00286D4D"/>
    <w:rsid w:val="002A46B1"/>
    <w:rsid w:val="002A61BD"/>
    <w:rsid w:val="002D7B66"/>
    <w:rsid w:val="002F1866"/>
    <w:rsid w:val="002F24A4"/>
    <w:rsid w:val="00303192"/>
    <w:rsid w:val="003201D6"/>
    <w:rsid w:val="00321899"/>
    <w:rsid w:val="00321E10"/>
    <w:rsid w:val="00323106"/>
    <w:rsid w:val="00324BF7"/>
    <w:rsid w:val="00351E8D"/>
    <w:rsid w:val="003603A6"/>
    <w:rsid w:val="003603F0"/>
    <w:rsid w:val="00363D50"/>
    <w:rsid w:val="00371096"/>
    <w:rsid w:val="00372910"/>
    <w:rsid w:val="00376218"/>
    <w:rsid w:val="0038520F"/>
    <w:rsid w:val="003935EE"/>
    <w:rsid w:val="003D280E"/>
    <w:rsid w:val="003D6106"/>
    <w:rsid w:val="003E3A7B"/>
    <w:rsid w:val="003E54B7"/>
    <w:rsid w:val="003E5807"/>
    <w:rsid w:val="003F7661"/>
    <w:rsid w:val="0040750C"/>
    <w:rsid w:val="0041352D"/>
    <w:rsid w:val="00426C61"/>
    <w:rsid w:val="004464A8"/>
    <w:rsid w:val="00446647"/>
    <w:rsid w:val="00463F07"/>
    <w:rsid w:val="004753D4"/>
    <w:rsid w:val="00475FA2"/>
    <w:rsid w:val="00477519"/>
    <w:rsid w:val="00477638"/>
    <w:rsid w:val="00486027"/>
    <w:rsid w:val="00496977"/>
    <w:rsid w:val="00496EE0"/>
    <w:rsid w:val="00497201"/>
    <w:rsid w:val="004B0BD4"/>
    <w:rsid w:val="004C231B"/>
    <w:rsid w:val="004C2D08"/>
    <w:rsid w:val="004E10FC"/>
    <w:rsid w:val="00500EBD"/>
    <w:rsid w:val="00512455"/>
    <w:rsid w:val="00525FCA"/>
    <w:rsid w:val="00527910"/>
    <w:rsid w:val="00534774"/>
    <w:rsid w:val="005405D7"/>
    <w:rsid w:val="00574F90"/>
    <w:rsid w:val="00575C71"/>
    <w:rsid w:val="005C0D7D"/>
    <w:rsid w:val="005C58B3"/>
    <w:rsid w:val="005D6329"/>
    <w:rsid w:val="005F4129"/>
    <w:rsid w:val="006173C6"/>
    <w:rsid w:val="00641BC6"/>
    <w:rsid w:val="006622C4"/>
    <w:rsid w:val="00665957"/>
    <w:rsid w:val="006704BE"/>
    <w:rsid w:val="00671FC6"/>
    <w:rsid w:val="00693BC4"/>
    <w:rsid w:val="00694010"/>
    <w:rsid w:val="00695424"/>
    <w:rsid w:val="006A6366"/>
    <w:rsid w:val="006B14C2"/>
    <w:rsid w:val="006C3914"/>
    <w:rsid w:val="006F1D45"/>
    <w:rsid w:val="00735BD7"/>
    <w:rsid w:val="00753154"/>
    <w:rsid w:val="00757515"/>
    <w:rsid w:val="00763EFB"/>
    <w:rsid w:val="00774FCA"/>
    <w:rsid w:val="00785834"/>
    <w:rsid w:val="00791C06"/>
    <w:rsid w:val="007929D9"/>
    <w:rsid w:val="007972AC"/>
    <w:rsid w:val="007A1888"/>
    <w:rsid w:val="007A2C62"/>
    <w:rsid w:val="007A535B"/>
    <w:rsid w:val="007B418F"/>
    <w:rsid w:val="007C3E4E"/>
    <w:rsid w:val="007D191C"/>
    <w:rsid w:val="008112BB"/>
    <w:rsid w:val="008148D1"/>
    <w:rsid w:val="00824B5D"/>
    <w:rsid w:val="00833C1F"/>
    <w:rsid w:val="00841F11"/>
    <w:rsid w:val="00872E49"/>
    <w:rsid w:val="008756C1"/>
    <w:rsid w:val="00882399"/>
    <w:rsid w:val="00890980"/>
    <w:rsid w:val="008A44DB"/>
    <w:rsid w:val="008C1B9A"/>
    <w:rsid w:val="008C21B1"/>
    <w:rsid w:val="008D12B6"/>
    <w:rsid w:val="008F76C6"/>
    <w:rsid w:val="00902414"/>
    <w:rsid w:val="00942E7B"/>
    <w:rsid w:val="009570B0"/>
    <w:rsid w:val="00982960"/>
    <w:rsid w:val="009C423C"/>
    <w:rsid w:val="009C4E5F"/>
    <w:rsid w:val="009E28E1"/>
    <w:rsid w:val="009E35AD"/>
    <w:rsid w:val="009E4E09"/>
    <w:rsid w:val="009F3DA3"/>
    <w:rsid w:val="00A06D40"/>
    <w:rsid w:val="00A251BB"/>
    <w:rsid w:val="00A35F9A"/>
    <w:rsid w:val="00A3648F"/>
    <w:rsid w:val="00A4623D"/>
    <w:rsid w:val="00A53EDA"/>
    <w:rsid w:val="00A56CBC"/>
    <w:rsid w:val="00A703B9"/>
    <w:rsid w:val="00A828F6"/>
    <w:rsid w:val="00A924E3"/>
    <w:rsid w:val="00A9721A"/>
    <w:rsid w:val="00AA380C"/>
    <w:rsid w:val="00AD547A"/>
    <w:rsid w:val="00AE1B8F"/>
    <w:rsid w:val="00AE25DA"/>
    <w:rsid w:val="00AF2458"/>
    <w:rsid w:val="00B015BC"/>
    <w:rsid w:val="00B029E4"/>
    <w:rsid w:val="00B26819"/>
    <w:rsid w:val="00B57C06"/>
    <w:rsid w:val="00B70B2A"/>
    <w:rsid w:val="00B82DB5"/>
    <w:rsid w:val="00B919FD"/>
    <w:rsid w:val="00B94338"/>
    <w:rsid w:val="00BC112C"/>
    <w:rsid w:val="00BC65B7"/>
    <w:rsid w:val="00BD5301"/>
    <w:rsid w:val="00BE5028"/>
    <w:rsid w:val="00BF56C6"/>
    <w:rsid w:val="00C10CE2"/>
    <w:rsid w:val="00C1211B"/>
    <w:rsid w:val="00C12939"/>
    <w:rsid w:val="00C16140"/>
    <w:rsid w:val="00C269B8"/>
    <w:rsid w:val="00C52FB2"/>
    <w:rsid w:val="00C63730"/>
    <w:rsid w:val="00C76BE5"/>
    <w:rsid w:val="00C8115C"/>
    <w:rsid w:val="00C82712"/>
    <w:rsid w:val="00C82AD6"/>
    <w:rsid w:val="00CA328B"/>
    <w:rsid w:val="00CB67C7"/>
    <w:rsid w:val="00CC4D96"/>
    <w:rsid w:val="00CD1267"/>
    <w:rsid w:val="00CE5D74"/>
    <w:rsid w:val="00CE5F58"/>
    <w:rsid w:val="00CF2DBB"/>
    <w:rsid w:val="00D55ED5"/>
    <w:rsid w:val="00D73AC3"/>
    <w:rsid w:val="00D744C4"/>
    <w:rsid w:val="00DA2519"/>
    <w:rsid w:val="00DD231C"/>
    <w:rsid w:val="00DE01D7"/>
    <w:rsid w:val="00E12E04"/>
    <w:rsid w:val="00E21C86"/>
    <w:rsid w:val="00E2548C"/>
    <w:rsid w:val="00E30038"/>
    <w:rsid w:val="00E367AE"/>
    <w:rsid w:val="00E419A7"/>
    <w:rsid w:val="00E442FD"/>
    <w:rsid w:val="00E45EA9"/>
    <w:rsid w:val="00E72949"/>
    <w:rsid w:val="00E80919"/>
    <w:rsid w:val="00E83847"/>
    <w:rsid w:val="00E96043"/>
    <w:rsid w:val="00EA1678"/>
    <w:rsid w:val="00EC4204"/>
    <w:rsid w:val="00ED4FF4"/>
    <w:rsid w:val="00EF1A10"/>
    <w:rsid w:val="00F0689C"/>
    <w:rsid w:val="00F51A98"/>
    <w:rsid w:val="00F61E62"/>
    <w:rsid w:val="00F65DE9"/>
    <w:rsid w:val="00F811D8"/>
    <w:rsid w:val="00F865E1"/>
    <w:rsid w:val="00F87207"/>
    <w:rsid w:val="00F92A48"/>
    <w:rsid w:val="00F95EBF"/>
    <w:rsid w:val="00F979C9"/>
    <w:rsid w:val="00FE7163"/>
    <w:rsid w:val="00FF36C1"/>
    <w:rsid w:val="036E2FD2"/>
    <w:rsid w:val="0707271D"/>
    <w:rsid w:val="0B5024F4"/>
    <w:rsid w:val="0EED2812"/>
    <w:rsid w:val="17736001"/>
    <w:rsid w:val="181A7553"/>
    <w:rsid w:val="1A0442B4"/>
    <w:rsid w:val="23AB7460"/>
    <w:rsid w:val="261B7D67"/>
    <w:rsid w:val="29FE03F8"/>
    <w:rsid w:val="2FB45845"/>
    <w:rsid w:val="32276F5F"/>
    <w:rsid w:val="3FB07EF3"/>
    <w:rsid w:val="436A6203"/>
    <w:rsid w:val="492E4B87"/>
    <w:rsid w:val="4D1D21A5"/>
    <w:rsid w:val="4EB7514B"/>
    <w:rsid w:val="518A3F9C"/>
    <w:rsid w:val="5E0F2DE2"/>
    <w:rsid w:val="5F791A4E"/>
    <w:rsid w:val="611A039B"/>
    <w:rsid w:val="638A4254"/>
    <w:rsid w:val="65F5668B"/>
    <w:rsid w:val="67CA4164"/>
    <w:rsid w:val="7156289B"/>
    <w:rsid w:val="7244108C"/>
    <w:rsid w:val="737F5297"/>
    <w:rsid w:val="79E23097"/>
    <w:rsid w:val="7B5D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jc w:val="left"/>
      <w:outlineLvl w:val="0"/>
    </w:pPr>
    <w:rPr>
      <w:rFonts w:hint="eastAsia" w:ascii="宋体" w:hAnsi="宋体"/>
      <w:b/>
      <w:kern w:val="44"/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jc w:val="left"/>
      <w:outlineLvl w:val="1"/>
    </w:pPr>
    <w:rPr>
      <w:rFonts w:hint="eastAsia" w:ascii="宋体" w:hAnsi="宋体"/>
      <w:b/>
      <w:kern w:val="0"/>
      <w:sz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5"/>
    <w:qFormat/>
    <w:uiPriority w:val="0"/>
    <w:pPr>
      <w:ind w:firstLine="560" w:firstLineChars="200"/>
    </w:pPr>
    <w:rPr>
      <w:rFonts w:ascii="宋体" w:hAnsi="宋体"/>
      <w:sz w:val="2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unhideWhenUsed/>
    <w:qFormat/>
    <w:uiPriority w:val="99"/>
    <w:rPr>
      <w:b/>
      <w:color w:val="FFFFFF"/>
      <w:u w:val="none"/>
    </w:rPr>
  </w:style>
  <w:style w:type="character" w:styleId="11">
    <w:name w:val="HTML Acronym"/>
    <w:basedOn w:val="8"/>
    <w:semiHidden/>
    <w:unhideWhenUsed/>
    <w:qFormat/>
    <w:uiPriority w:val="99"/>
  </w:style>
  <w:style w:type="character" w:styleId="12">
    <w:name w:val="Hyperlink"/>
    <w:basedOn w:val="8"/>
    <w:unhideWhenUsed/>
    <w:qFormat/>
    <w:uiPriority w:val="99"/>
    <w:rPr>
      <w:b/>
      <w:color w:val="FFFFFF"/>
      <w:u w:val="none"/>
    </w:rPr>
  </w:style>
  <w:style w:type="table" w:styleId="14">
    <w:name w:val="Table Grid"/>
    <w:basedOn w:val="1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8"/>
    <w:link w:val="4"/>
    <w:qFormat/>
    <w:uiPriority w:val="0"/>
    <w:rPr>
      <w:rFonts w:ascii="宋体" w:hAnsi="宋体" w:eastAsia="宋体" w:cs="Times New Roman"/>
      <w:sz w:val="28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basedOn w:val="8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9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">
    <w:name w:val="_Style 18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6EDB2A-EBC0-4235-9BA0-D661B956FD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1437</Words>
  <Characters>8197</Characters>
  <Lines>68</Lines>
  <Paragraphs>19</Paragraphs>
  <TotalTime>0</TotalTime>
  <ScaleCrop>false</ScaleCrop>
  <LinksUpToDate>false</LinksUpToDate>
  <CharactersWithSpaces>9615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2018-05-21T09:04:00Z</dcterms:created>
  <dc:creator>yimu</dc:creator>
  <cp:lastModifiedBy>Administrator</cp:lastModifiedBy>
  <cp:lastPrinted>2018-01-23T08:35:00Z</cp:lastPrinted>
  <dcterms:modified xsi:type="dcterms:W3CDTF">2018-06-05T08:27:27Z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